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363" w:rsidRPr="006C1175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117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202</w:t>
      </w:r>
      <w:r w:rsidR="008D24FC">
        <w:rPr>
          <w:rFonts w:ascii="Corbel" w:hAnsi="Corbel"/>
          <w:b/>
          <w:smallCaps/>
          <w:sz w:val="24"/>
          <w:szCs w:val="24"/>
        </w:rPr>
        <w:t>2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- 202</w:t>
      </w:r>
      <w:r w:rsidR="008D24FC">
        <w:rPr>
          <w:rFonts w:ascii="Corbel" w:hAnsi="Corbel"/>
          <w:b/>
          <w:smallCaps/>
          <w:sz w:val="24"/>
          <w:szCs w:val="24"/>
        </w:rPr>
        <w:t>7</w:t>
      </w:r>
    </w:p>
    <w:p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8D24FC">
        <w:rPr>
          <w:rFonts w:ascii="Corbel" w:hAnsi="Corbel"/>
          <w:sz w:val="24"/>
          <w:szCs w:val="24"/>
        </w:rPr>
        <w:t>4</w:t>
      </w:r>
      <w:r w:rsidR="00DB42A8" w:rsidRPr="006C1175">
        <w:rPr>
          <w:rFonts w:ascii="Corbel" w:hAnsi="Corbel"/>
          <w:sz w:val="24"/>
          <w:szCs w:val="24"/>
        </w:rPr>
        <w:t>/2</w:t>
      </w:r>
      <w:bookmarkStart w:id="0" w:name="_GoBack"/>
      <w:bookmarkEnd w:id="0"/>
      <w:r w:rsidR="008D24FC">
        <w:rPr>
          <w:rFonts w:ascii="Corbel" w:hAnsi="Corbel"/>
          <w:sz w:val="24"/>
          <w:szCs w:val="24"/>
        </w:rPr>
        <w:t>5</w:t>
      </w:r>
      <w:r w:rsidR="00CC4EAA" w:rsidRPr="006C1175">
        <w:rPr>
          <w:rFonts w:ascii="Corbel" w:hAnsi="Corbel"/>
          <w:sz w:val="24"/>
          <w:szCs w:val="24"/>
        </w:rPr>
        <w:t xml:space="preserve"> </w:t>
      </w:r>
    </w:p>
    <w:p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6C1175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6C1175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6C1175" w:rsidRDefault="00F6704D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 xml:space="preserve"> Ryszard </w:t>
            </w:r>
            <w:proofErr w:type="spellStart"/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Wykł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Sem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8D24F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 xml:space="preserve">Warsztaty – </w:t>
      </w:r>
      <w:proofErr w:type="spellStart"/>
      <w:r w:rsidRPr="006C1175">
        <w:rPr>
          <w:rFonts w:ascii="Corbel" w:hAnsi="Corbel"/>
          <w:b w:val="0"/>
          <w:szCs w:val="24"/>
        </w:rPr>
        <w:t>zal</w:t>
      </w:r>
      <w:proofErr w:type="spellEnd"/>
      <w:r w:rsidRPr="006C1175">
        <w:rPr>
          <w:rFonts w:ascii="Corbel" w:hAnsi="Corbel"/>
          <w:b w:val="0"/>
          <w:szCs w:val="24"/>
        </w:rPr>
        <w:t>. z oceną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1175" w:rsidTr="00745302">
        <w:tc>
          <w:tcPr>
            <w:tcW w:w="9670" w:type="dxa"/>
          </w:tcPr>
          <w:p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81"/>
      </w:tblGrid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:rsidTr="00C855B6">
        <w:tc>
          <w:tcPr>
            <w:tcW w:w="845" w:type="dxa"/>
            <w:vAlign w:val="center"/>
          </w:tcPr>
          <w:p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:rsidTr="00C855B6">
        <w:tc>
          <w:tcPr>
            <w:tcW w:w="845" w:type="dxa"/>
            <w:vAlign w:val="center"/>
          </w:tcPr>
          <w:p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163D17" w:rsidRPr="006C1175" w:rsidTr="005A3DC7">
        <w:tc>
          <w:tcPr>
            <w:tcW w:w="1679" w:type="dxa"/>
            <w:vAlign w:val="center"/>
          </w:tcPr>
          <w:p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6C1175" w:rsidTr="002D2B98">
        <w:tc>
          <w:tcPr>
            <w:tcW w:w="952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</w:t>
            </w:r>
            <w:proofErr w:type="spellEnd"/>
            <w:r w:rsidR="008329F9" w:rsidRPr="006C1175">
              <w:rPr>
                <w:rFonts w:ascii="Corbel" w:hAnsi="Corbel"/>
                <w:sz w:val="24"/>
                <w:szCs w:val="24"/>
              </w:rPr>
              <w:t xml:space="preserve"> koncepcje w edukacji wczesnoszkolnej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:rsidTr="002D2B98">
        <w:tc>
          <w:tcPr>
            <w:tcW w:w="9520" w:type="dxa"/>
          </w:tcPr>
          <w:p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5104"/>
        <w:gridCol w:w="2126"/>
      </w:tblGrid>
      <w:tr w:rsidR="002D2B98" w:rsidRPr="006C1175" w:rsidTr="003B7CAD">
        <w:tc>
          <w:tcPr>
            <w:tcW w:w="2409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1175" w:rsidTr="00923D7D">
        <w:tc>
          <w:tcPr>
            <w:tcW w:w="9670" w:type="dxa"/>
          </w:tcPr>
          <w:p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 xml:space="preserve">w skali: 60% poprawnych odpowiedzi –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70%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80 – dobry; 85%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90 – 100% -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0"/>
        <w:gridCol w:w="2970"/>
      </w:tblGrid>
      <w:tr w:rsidR="0085747A" w:rsidRPr="006C1175" w:rsidTr="00E638A8">
        <w:tc>
          <w:tcPr>
            <w:tcW w:w="6550" w:type="dxa"/>
            <w:vAlign w:val="center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117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117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:rsidR="00C61DC5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1"/>
      </w:tblGrid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C1175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Szczepska-Pustkowska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7179CD" w:rsidRPr="006C1175" w:rsidRDefault="00482F19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6C1175">
              <w:rPr>
                <w:rFonts w:ascii="Corbel" w:hAnsi="Corbel"/>
                <w:sz w:val="24"/>
                <w:szCs w:val="24"/>
              </w:rPr>
              <w:t>. Bydgoszcz 2013</w:t>
            </w:r>
          </w:p>
          <w:p w:rsidR="00867709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 xml:space="preserve">Żylińska M.,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.</w:t>
            </w:r>
            <w:r w:rsidR="00482F19" w:rsidRPr="006C1175">
              <w:rPr>
                <w:rFonts w:ascii="Corbel" w:hAnsi="Corbel"/>
                <w:sz w:val="24"/>
                <w:szCs w:val="24"/>
              </w:rPr>
              <w:t>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90198" w:rsidRPr="006C1175" w:rsidRDefault="00990198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6C1175" w:rsidRDefault="00482F19" w:rsidP="00482F19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482F1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198" w:rsidRDefault="00931198" w:rsidP="00C16ABF">
      <w:pPr>
        <w:spacing w:after="0" w:line="240" w:lineRule="auto"/>
      </w:pPr>
      <w:r>
        <w:separator/>
      </w:r>
    </w:p>
  </w:endnote>
  <w:endnote w:type="continuationSeparator" w:id="0">
    <w:p w:rsidR="00931198" w:rsidRDefault="009311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198" w:rsidRDefault="00931198" w:rsidP="00C16ABF">
      <w:pPr>
        <w:spacing w:after="0" w:line="240" w:lineRule="auto"/>
      </w:pPr>
      <w:r>
        <w:separator/>
      </w:r>
    </w:p>
  </w:footnote>
  <w:footnote w:type="continuationSeparator" w:id="0">
    <w:p w:rsidR="00931198" w:rsidRDefault="0093119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035B5"/>
    <w:rsid w:val="0010439C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86268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24FC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31198"/>
    <w:rsid w:val="00941071"/>
    <w:rsid w:val="009508DF"/>
    <w:rsid w:val="00950DAC"/>
    <w:rsid w:val="00954A07"/>
    <w:rsid w:val="0097076D"/>
    <w:rsid w:val="009716EE"/>
    <w:rsid w:val="009755D3"/>
    <w:rsid w:val="00990198"/>
    <w:rsid w:val="00997F14"/>
    <w:rsid w:val="009A1D19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46D1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2D096-4CA4-4680-BA2D-8E21BB7A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5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2020-02-17T10:28:00Z</dcterms:created>
  <dcterms:modified xsi:type="dcterms:W3CDTF">2022-09-15T13:05:00Z</dcterms:modified>
</cp:coreProperties>
</file>